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14" w:rsidRPr="00864A58" w:rsidRDefault="00633614" w:rsidP="004E43EB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ПРОГРАМА</w:t>
      </w:r>
      <w:r w:rsidRPr="00864A58">
        <w:rPr>
          <w:rFonts w:ascii="Arial" w:eastAsia="Calibri" w:hAnsi="Arial" w:cs="Arial"/>
          <w:b/>
          <w:sz w:val="28"/>
          <w:szCs w:val="28"/>
          <w:lang w:val="ru-RU"/>
        </w:rPr>
        <w:t xml:space="preserve"> </w:t>
      </w:r>
      <w:r w:rsidR="004E43EB">
        <w:rPr>
          <w:rFonts w:ascii="Arial" w:eastAsia="Calibri" w:hAnsi="Arial" w:cs="Arial"/>
          <w:b/>
          <w:sz w:val="28"/>
          <w:szCs w:val="28"/>
          <w:lang w:val="uk-UA"/>
        </w:rPr>
        <w:t>МАЙСТЕР-КЛАСУ</w:t>
      </w: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 xml:space="preserve"> </w:t>
      </w:r>
    </w:p>
    <w:p w:rsidR="00633614" w:rsidRPr="00864A58" w:rsidRDefault="00633614" w:rsidP="00633614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«</w:t>
      </w:r>
      <w:r w:rsidR="00DC23D0" w:rsidRPr="00DC23D0">
        <w:rPr>
          <w:rFonts w:ascii="Arial" w:eastAsia="Calibri" w:hAnsi="Arial" w:cs="Arial"/>
          <w:b/>
          <w:sz w:val="28"/>
          <w:szCs w:val="28"/>
          <w:lang w:val="uk-UA"/>
        </w:rPr>
        <w:t xml:space="preserve">Список заборонених речовин ВАДА. Зміни 2026 року. Практичний </w:t>
      </w:r>
      <w:proofErr w:type="spellStart"/>
      <w:r w:rsidR="00DC23D0" w:rsidRPr="00DC23D0">
        <w:rPr>
          <w:rFonts w:ascii="Arial" w:eastAsia="Calibri" w:hAnsi="Arial" w:cs="Arial"/>
          <w:b/>
          <w:sz w:val="28"/>
          <w:szCs w:val="28"/>
          <w:lang w:val="uk-UA"/>
        </w:rPr>
        <w:t>гайд</w:t>
      </w:r>
      <w:proofErr w:type="spellEnd"/>
      <w:r w:rsidR="00DC23D0" w:rsidRPr="00DC23D0">
        <w:rPr>
          <w:rFonts w:ascii="Arial" w:eastAsia="Calibri" w:hAnsi="Arial" w:cs="Arial"/>
          <w:b/>
          <w:sz w:val="28"/>
          <w:szCs w:val="28"/>
          <w:lang w:val="uk-UA"/>
        </w:rPr>
        <w:t xml:space="preserve"> для спортсмена та тренера. Дозвіл на терапевтичне використання: механізм отримання та робота з технічними документами.</w:t>
      </w: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»</w:t>
      </w:r>
    </w:p>
    <w:p w:rsidR="004E43EB" w:rsidRDefault="004E43EB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</w:p>
    <w:p w:rsidR="00633614" w:rsidRPr="008B2CFF" w:rsidRDefault="00633614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Дати та час проведення:</w:t>
      </w:r>
    </w:p>
    <w:p w:rsidR="00DC23D0" w:rsidRPr="00DC23D0" w:rsidRDefault="00DC23D0" w:rsidP="00DC23D0">
      <w:pPr>
        <w:pStyle w:val="a3"/>
        <w:numPr>
          <w:ilvl w:val="0"/>
          <w:numId w:val="2"/>
        </w:num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рудня </w:t>
      </w:r>
      <w:r w:rsidR="00A361A2" w:rsidRPr="00DC23D0">
        <w:rPr>
          <w:rFonts w:ascii="Arial" w:eastAsia="Calibri" w:hAnsi="Arial" w:cs="Arial"/>
          <w:sz w:val="24"/>
          <w:szCs w:val="24"/>
          <w:lang w:val="uk-UA"/>
        </w:rPr>
        <w:t>2025 р. 1</w:t>
      </w:r>
      <w:r w:rsidR="009A2A8E" w:rsidRPr="00DC23D0">
        <w:rPr>
          <w:rFonts w:ascii="Arial" w:eastAsia="Calibri" w:hAnsi="Arial" w:cs="Arial"/>
          <w:sz w:val="24"/>
          <w:szCs w:val="24"/>
          <w:lang w:val="uk-UA"/>
        </w:rPr>
        <w:t>2</w:t>
      </w:r>
      <w:r w:rsidR="00A361A2" w:rsidRPr="00DC23D0">
        <w:rPr>
          <w:rFonts w:ascii="Arial" w:eastAsia="Calibri" w:hAnsi="Arial" w:cs="Arial"/>
          <w:sz w:val="24"/>
          <w:szCs w:val="24"/>
          <w:lang w:val="uk-UA"/>
        </w:rPr>
        <w:t>:00 - 1</w:t>
      </w:r>
      <w:r w:rsidR="006A240D" w:rsidRPr="00DC23D0">
        <w:rPr>
          <w:rFonts w:ascii="Arial" w:eastAsia="Calibri" w:hAnsi="Arial" w:cs="Arial"/>
          <w:sz w:val="24"/>
          <w:szCs w:val="24"/>
          <w:lang w:val="uk-UA"/>
        </w:rPr>
        <w:t>6</w:t>
      </w:r>
      <w:r w:rsidR="00EB0E78">
        <w:rPr>
          <w:rFonts w:ascii="Arial" w:eastAsia="Calibri" w:hAnsi="Arial" w:cs="Arial"/>
          <w:sz w:val="24"/>
          <w:szCs w:val="24"/>
          <w:lang w:val="uk-UA"/>
        </w:rPr>
        <w:t>:0</w:t>
      </w:r>
      <w:r w:rsidRPr="00DC23D0">
        <w:rPr>
          <w:rFonts w:ascii="Arial" w:eastAsia="Calibri" w:hAnsi="Arial" w:cs="Arial"/>
          <w:sz w:val="24"/>
          <w:szCs w:val="24"/>
          <w:lang w:val="uk-UA"/>
        </w:rPr>
        <w:t>0</w:t>
      </w:r>
      <w:r w:rsidR="00A361A2" w:rsidRPr="00DC23D0">
        <w:rPr>
          <w:rFonts w:ascii="Arial" w:eastAsia="Calibri" w:hAnsi="Arial" w:cs="Arial"/>
          <w:sz w:val="24"/>
          <w:szCs w:val="24"/>
          <w:lang w:val="uk-UA"/>
        </w:rPr>
        <w:br/>
      </w:r>
    </w:p>
    <w:p w:rsidR="00633614" w:rsidRPr="00DC23D0" w:rsidRDefault="00633614" w:rsidP="00DC23D0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Місце проведення:</w:t>
      </w:r>
      <w:r w:rsidR="00DC23D0">
        <w:rPr>
          <w:rFonts w:ascii="Arial" w:eastAsia="Calibri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="009A2A8E" w:rsidRPr="00DC23D0">
        <w:rPr>
          <w:rFonts w:ascii="Arial" w:eastAsia="Calibri" w:hAnsi="Arial" w:cs="Arial"/>
          <w:sz w:val="24"/>
          <w:szCs w:val="24"/>
          <w:lang w:val="uk-UA"/>
        </w:rPr>
        <w:t>Онлайн</w:t>
      </w:r>
      <w:proofErr w:type="spellEnd"/>
      <w:r w:rsidR="009A2A8E"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</w:p>
    <w:p w:rsidR="00DC23D0" w:rsidRDefault="00633614" w:rsidP="00DC23D0">
      <w:pPr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Загальна кількість годин</w:t>
      </w:r>
      <w:r w:rsidR="00DC23D0">
        <w:rPr>
          <w:rFonts w:ascii="Arial" w:eastAsia="Calibri" w:hAnsi="Arial" w:cs="Arial"/>
          <w:sz w:val="24"/>
          <w:szCs w:val="24"/>
          <w:lang w:val="uk-UA"/>
        </w:rPr>
        <w:t>:</w:t>
      </w:r>
    </w:p>
    <w:p w:rsidR="00DC23D0" w:rsidRPr="00DC23D0" w:rsidRDefault="00DC23D0" w:rsidP="00DC23D0">
      <w:pPr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6 академічних годин </w:t>
      </w:r>
    </w:p>
    <w:p w:rsidR="00633614" w:rsidRPr="008B2CFF" w:rsidRDefault="00EB0E78" w:rsidP="00DC23D0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4</w:t>
      </w:r>
      <w:r w:rsidR="00FC7B2E">
        <w:rPr>
          <w:rFonts w:ascii="Arial" w:eastAsia="Calibri" w:hAnsi="Arial" w:cs="Arial"/>
          <w:sz w:val="24"/>
          <w:szCs w:val="24"/>
          <w:lang w:val="uk-UA"/>
        </w:rPr>
        <w:t>,20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астрономічні</w:t>
      </w:r>
      <w:r w:rsidR="00DC23D0" w:rsidRPr="00DC23D0">
        <w:rPr>
          <w:rFonts w:ascii="Arial" w:eastAsia="Calibri" w:hAnsi="Arial" w:cs="Arial"/>
          <w:sz w:val="24"/>
          <w:szCs w:val="24"/>
          <w:lang w:val="uk-UA"/>
        </w:rPr>
        <w:t xml:space="preserve"> годин</w:t>
      </w:r>
      <w:r>
        <w:rPr>
          <w:rFonts w:ascii="Arial" w:eastAsia="Calibri" w:hAnsi="Arial" w:cs="Arial"/>
          <w:sz w:val="24"/>
          <w:szCs w:val="24"/>
          <w:lang w:val="uk-UA"/>
        </w:rPr>
        <w:t>и</w:t>
      </w:r>
    </w:p>
    <w:p w:rsidR="009A2A8E" w:rsidRDefault="00633614" w:rsidP="009A2A8E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Мета заходу:</w:t>
      </w:r>
      <w:r w:rsidRPr="008B2CFF">
        <w:rPr>
          <w:rFonts w:ascii="Arial" w:eastAsia="Calibri" w:hAnsi="Arial" w:cs="Arial"/>
          <w:i/>
          <w:sz w:val="24"/>
          <w:szCs w:val="24"/>
          <w:lang w:val="uk-UA"/>
        </w:rPr>
        <w:t xml:space="preserve"> </w:t>
      </w:r>
      <w:r w:rsidR="00BE2E2F" w:rsidRPr="00BE2E2F">
        <w:rPr>
          <w:rFonts w:ascii="Arial" w:eastAsia="Calibri" w:hAnsi="Arial" w:cs="Arial"/>
          <w:iCs/>
          <w:sz w:val="24"/>
          <w:szCs w:val="24"/>
          <w:lang w:val="uk-UA"/>
        </w:rPr>
        <w:t>Підвищення кваліфікації лікарів всіх спеціальностей, які стикаються в роботі зі спортсменами. Підвищення рівня знань з питань оновлення списку заборонених речовин, який вступає в силу з 1 січня 2026 року; антидопінгових правил  та особливостей призначення у спортсменів заборонених для вживання речовин. Ознайомлення з механізмом отримання TUE (дозволу на терапевтичне використання) та робота з технічною документацією. Підвищення кваліфікації тренерів та рівня знань спортсменів з питань оновлення списку заборонених речовин ВАДА на 2026 рік та в питаннях отримання дозволів на терапевтичне використання.</w:t>
      </w:r>
    </w:p>
    <w:p w:rsidR="00DC23D0" w:rsidRPr="00DC23D0" w:rsidRDefault="00DC23D0" w:rsidP="009A2A8E">
      <w:pPr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  <w:r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>Цільова аудиторія:</w:t>
      </w:r>
    </w:p>
    <w:p w:rsidR="00BE2E2F" w:rsidRPr="00BE2E2F" w:rsidRDefault="00BE2E2F" w:rsidP="00BE2E2F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E2E2F">
        <w:rPr>
          <w:rFonts w:ascii="Arial" w:eastAsia="Calibri" w:hAnsi="Arial" w:cs="Arial"/>
          <w:iCs/>
          <w:sz w:val="24"/>
          <w:szCs w:val="24"/>
          <w:lang w:val="uk-UA"/>
        </w:rPr>
        <w:t xml:space="preserve">Лікарські спеціальності загального профілю: загальна практика, сімейна медицина; лікарські спеціальності спеціалізованого хірургічного профілю: ортопедія-травматологія; інші лікарські спеціальності – </w:t>
      </w:r>
      <w:proofErr w:type="spellStart"/>
      <w:r w:rsidRPr="00BE2E2F">
        <w:rPr>
          <w:rFonts w:ascii="Arial" w:eastAsia="Calibri" w:hAnsi="Arial" w:cs="Arial"/>
          <w:iCs/>
          <w:sz w:val="24"/>
          <w:szCs w:val="24"/>
          <w:lang w:val="uk-UA"/>
        </w:rPr>
        <w:t>рефлексотерапія</w:t>
      </w:r>
      <w:proofErr w:type="spellEnd"/>
      <w:r w:rsidRPr="00BE2E2F">
        <w:rPr>
          <w:rFonts w:ascii="Arial" w:eastAsia="Calibri" w:hAnsi="Arial" w:cs="Arial"/>
          <w:iCs/>
          <w:sz w:val="24"/>
          <w:szCs w:val="24"/>
          <w:lang w:val="uk-UA"/>
        </w:rPr>
        <w:t>, спортивна медицина, фізична та реабілітаційна медицина, функціональна діагностика.</w:t>
      </w:r>
    </w:p>
    <w:p w:rsidR="00BE2E2F" w:rsidRDefault="00BE2E2F" w:rsidP="00BE2E2F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E2E2F">
        <w:rPr>
          <w:rFonts w:ascii="Arial" w:eastAsia="Calibri" w:hAnsi="Arial" w:cs="Arial"/>
          <w:iCs/>
          <w:sz w:val="24"/>
          <w:szCs w:val="24"/>
          <w:lang w:val="uk-UA"/>
        </w:rPr>
        <w:t xml:space="preserve">Спеціальності у сфері охорони здоров’я – спеціальності професіоналів з реабілітації – фізична терапія, </w:t>
      </w:r>
      <w:proofErr w:type="spellStart"/>
      <w:r w:rsidRPr="00BE2E2F">
        <w:rPr>
          <w:rFonts w:ascii="Arial" w:eastAsia="Calibri" w:hAnsi="Arial" w:cs="Arial"/>
          <w:iCs/>
          <w:sz w:val="24"/>
          <w:szCs w:val="24"/>
          <w:lang w:val="uk-UA"/>
        </w:rPr>
        <w:t>ерготерапія</w:t>
      </w:r>
      <w:proofErr w:type="spellEnd"/>
      <w:r w:rsidRPr="00BE2E2F">
        <w:rPr>
          <w:rFonts w:ascii="Arial" w:eastAsia="Calibri" w:hAnsi="Arial" w:cs="Arial"/>
          <w:iCs/>
          <w:sz w:val="24"/>
          <w:szCs w:val="24"/>
          <w:lang w:val="uk-UA"/>
        </w:rPr>
        <w:t xml:space="preserve">, </w:t>
      </w:r>
      <w:proofErr w:type="spellStart"/>
      <w:r w:rsidRPr="00BE2E2F">
        <w:rPr>
          <w:rFonts w:ascii="Arial" w:eastAsia="Calibri" w:hAnsi="Arial" w:cs="Arial"/>
          <w:iCs/>
          <w:sz w:val="24"/>
          <w:szCs w:val="24"/>
          <w:lang w:val="uk-UA"/>
        </w:rPr>
        <w:t>протезування-ортезування</w:t>
      </w:r>
      <w:proofErr w:type="spellEnd"/>
      <w:r w:rsidRPr="00BE2E2F">
        <w:rPr>
          <w:rFonts w:ascii="Arial" w:eastAsia="Calibri" w:hAnsi="Arial" w:cs="Arial"/>
          <w:iCs/>
          <w:sz w:val="24"/>
          <w:szCs w:val="24"/>
          <w:lang w:val="uk-UA"/>
        </w:rPr>
        <w:t xml:space="preserve">. </w:t>
      </w:r>
    </w:p>
    <w:p w:rsidR="0033348A" w:rsidRDefault="00BE2E2F" w:rsidP="00BE2E2F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BE2E2F">
        <w:rPr>
          <w:rFonts w:ascii="Arial" w:eastAsia="Calibri" w:hAnsi="Arial" w:cs="Arial"/>
          <w:iCs/>
          <w:sz w:val="24"/>
          <w:szCs w:val="24"/>
          <w:lang w:val="uk-UA"/>
        </w:rPr>
        <w:t>Тренери, спортсмени.</w:t>
      </w:r>
    </w:p>
    <w:p w:rsidR="00DC23D0" w:rsidRPr="008B2CFF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8B2CFF">
        <w:rPr>
          <w:rFonts w:ascii="Arial" w:eastAsia="Calibri" w:hAnsi="Arial" w:cs="Arial"/>
          <w:b/>
          <w:iCs/>
          <w:sz w:val="28"/>
          <w:szCs w:val="28"/>
          <w:lang w:val="uk-UA"/>
        </w:rPr>
        <w:t xml:space="preserve">ПРОГРАМА </w:t>
      </w:r>
      <w:r>
        <w:rPr>
          <w:rFonts w:ascii="Arial" w:eastAsia="Calibri" w:hAnsi="Arial" w:cs="Arial"/>
          <w:b/>
          <w:iCs/>
          <w:sz w:val="28"/>
          <w:szCs w:val="28"/>
          <w:lang w:val="uk-UA"/>
        </w:rPr>
        <w:t>МАЙСТЕР-КЛАСУ</w:t>
      </w:r>
    </w:p>
    <w:tbl>
      <w:tblPr>
        <w:tblStyle w:val="a4"/>
        <w:tblW w:w="0" w:type="auto"/>
        <w:tblLook w:val="04A0"/>
      </w:tblPr>
      <w:tblGrid>
        <w:gridCol w:w="1526"/>
        <w:gridCol w:w="6662"/>
        <w:gridCol w:w="1383"/>
      </w:tblGrid>
      <w:tr w:rsidR="00DC23D0" w:rsidRPr="008C768D" w:rsidTr="00F81CCE">
        <w:trPr>
          <w:trHeight w:val="369"/>
        </w:trPr>
        <w:tc>
          <w:tcPr>
            <w:tcW w:w="9571" w:type="dxa"/>
            <w:gridSpan w:val="3"/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iCs/>
                <w:lang w:val="uk-UA"/>
              </w:rPr>
            </w:pPr>
            <w:r>
              <w:rPr>
                <w:rFonts w:ascii="Arial" w:eastAsia="Calibri" w:hAnsi="Arial" w:cs="Arial"/>
                <w:b/>
                <w:iCs/>
                <w:lang w:val="uk-UA"/>
              </w:rPr>
              <w:t>Субота</w:t>
            </w:r>
            <w:r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, 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>13 грудня</w:t>
            </w:r>
            <w:r w:rsidRPr="003C3777">
              <w:rPr>
                <w:rFonts w:ascii="Arial" w:eastAsia="Calibri" w:hAnsi="Arial" w:cs="Arial"/>
                <w:b/>
                <w:iCs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>2025</w:t>
            </w:r>
            <w:r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 р.</w:t>
            </w:r>
          </w:p>
        </w:tc>
      </w:tr>
      <w:tr w:rsidR="00DC23D0" w:rsidRPr="008C768D" w:rsidTr="00B9544E">
        <w:trPr>
          <w:trHeight w:val="1525"/>
        </w:trPr>
        <w:tc>
          <w:tcPr>
            <w:tcW w:w="1526" w:type="dxa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8C768D">
              <w:rPr>
                <w:rFonts w:ascii="Arial" w:eastAsia="Calibri" w:hAnsi="Arial" w:cs="Arial"/>
                <w:lang w:val="uk-UA"/>
              </w:rPr>
              <w:t>1</w:t>
            </w:r>
            <w:r>
              <w:rPr>
                <w:rFonts w:ascii="Arial" w:eastAsia="Calibri" w:hAnsi="Arial" w:cs="Arial"/>
                <w:lang w:val="uk-UA"/>
              </w:rPr>
              <w:t>2:00</w:t>
            </w:r>
            <w:r w:rsidRPr="008C768D">
              <w:rPr>
                <w:rFonts w:ascii="Arial" w:eastAsia="Calibri" w:hAnsi="Arial" w:cs="Arial"/>
                <w:lang w:val="uk-UA"/>
              </w:rPr>
              <w:t xml:space="preserve"> - </w:t>
            </w:r>
            <w:r>
              <w:rPr>
                <w:rFonts w:ascii="Arial" w:eastAsia="Calibri" w:hAnsi="Arial" w:cs="Arial"/>
                <w:lang w:val="uk-UA"/>
              </w:rPr>
              <w:t>15:00</w:t>
            </w:r>
          </w:p>
        </w:tc>
        <w:tc>
          <w:tcPr>
            <w:tcW w:w="6662" w:type="dxa"/>
            <w:vAlign w:val="center"/>
          </w:tcPr>
          <w:p w:rsidR="00DC23D0" w:rsidRPr="004D69E8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755187">
              <w:rPr>
                <w:rFonts w:ascii="Arial" w:eastAsia="Calibri" w:hAnsi="Arial" w:cs="Arial"/>
                <w:lang w:val="uk-UA"/>
              </w:rPr>
              <w:t>Комплексний аналіз спис</w:t>
            </w:r>
            <w:r>
              <w:rPr>
                <w:rFonts w:ascii="Arial" w:eastAsia="Calibri" w:hAnsi="Arial" w:cs="Arial"/>
                <w:lang w:val="uk-UA"/>
              </w:rPr>
              <w:t>ку заборонених речовин ВАДА. Зміни 2026</w:t>
            </w:r>
            <w:r w:rsidRPr="00755187">
              <w:rPr>
                <w:rFonts w:ascii="Arial" w:eastAsia="Calibri" w:hAnsi="Arial" w:cs="Arial"/>
                <w:lang w:val="uk-UA"/>
              </w:rPr>
              <w:t xml:space="preserve"> року</w:t>
            </w:r>
            <w:r>
              <w:rPr>
                <w:rFonts w:ascii="Arial" w:eastAsia="Calibri" w:hAnsi="Arial" w:cs="Arial"/>
                <w:lang w:val="uk-UA"/>
              </w:rPr>
              <w:t xml:space="preserve">. </w:t>
            </w:r>
            <w:r w:rsidRPr="00DC23D0">
              <w:rPr>
                <w:rFonts w:ascii="Arial" w:eastAsia="Calibri" w:hAnsi="Arial" w:cs="Arial"/>
                <w:lang w:val="uk-UA"/>
              </w:rPr>
              <w:t xml:space="preserve">Практичний </w:t>
            </w:r>
            <w:proofErr w:type="spellStart"/>
            <w:r w:rsidRPr="00DC23D0">
              <w:rPr>
                <w:rFonts w:ascii="Arial" w:eastAsia="Calibri" w:hAnsi="Arial" w:cs="Arial"/>
                <w:lang w:val="uk-UA"/>
              </w:rPr>
              <w:t>гайд</w:t>
            </w:r>
            <w:proofErr w:type="spellEnd"/>
            <w:r w:rsidRPr="00DC23D0">
              <w:rPr>
                <w:rFonts w:ascii="Arial" w:eastAsia="Calibri" w:hAnsi="Arial" w:cs="Arial"/>
                <w:lang w:val="uk-UA"/>
              </w:rPr>
              <w:t xml:space="preserve"> для спортсмена та тренера</w:t>
            </w:r>
            <w:r>
              <w:rPr>
                <w:rFonts w:ascii="Arial" w:eastAsia="Calibri" w:hAnsi="Arial" w:cs="Arial"/>
                <w:lang w:val="uk-UA"/>
              </w:rPr>
              <w:t xml:space="preserve">. </w:t>
            </w:r>
            <w:r w:rsidRPr="00755187">
              <w:rPr>
                <w:rFonts w:ascii="Arial" w:eastAsia="Calibri" w:hAnsi="Arial" w:cs="Arial"/>
                <w:lang w:val="uk-UA"/>
              </w:rPr>
              <w:t>Дозвіл на терапевтичне використання</w:t>
            </w:r>
            <w:r>
              <w:rPr>
                <w:rFonts w:ascii="Arial" w:eastAsia="Calibri" w:hAnsi="Arial" w:cs="Arial"/>
                <w:lang w:val="uk-UA"/>
              </w:rPr>
              <w:t xml:space="preserve"> (</w:t>
            </w:r>
            <w:r w:rsidRPr="00755187">
              <w:rPr>
                <w:rFonts w:ascii="Arial" w:eastAsia="Calibri" w:hAnsi="Arial" w:cs="Arial"/>
                <w:lang w:val="uk-UA"/>
              </w:rPr>
              <w:t>TUE</w:t>
            </w:r>
            <w:r>
              <w:rPr>
                <w:rFonts w:ascii="Arial" w:eastAsia="Calibri" w:hAnsi="Arial" w:cs="Arial"/>
                <w:lang w:val="uk-UA"/>
              </w:rPr>
              <w:t>)</w:t>
            </w:r>
            <w:r w:rsidRPr="00755187">
              <w:rPr>
                <w:rFonts w:ascii="Arial" w:eastAsia="Calibri" w:hAnsi="Arial" w:cs="Arial"/>
                <w:lang w:val="uk-UA"/>
              </w:rPr>
              <w:t xml:space="preserve">: механізм отримання та </w:t>
            </w:r>
            <w:r>
              <w:rPr>
                <w:rFonts w:ascii="Arial" w:eastAsia="Calibri" w:hAnsi="Arial" w:cs="Arial"/>
                <w:lang w:val="uk-UA"/>
              </w:rPr>
              <w:t xml:space="preserve">правила </w:t>
            </w:r>
            <w:r w:rsidRPr="00755187">
              <w:rPr>
                <w:rFonts w:ascii="Arial" w:eastAsia="Calibri" w:hAnsi="Arial" w:cs="Arial"/>
                <w:lang w:val="uk-UA"/>
              </w:rPr>
              <w:t>робот</w:t>
            </w:r>
            <w:r>
              <w:rPr>
                <w:rFonts w:ascii="Arial" w:eastAsia="Calibri" w:hAnsi="Arial" w:cs="Arial"/>
                <w:lang w:val="uk-UA"/>
              </w:rPr>
              <w:t>и</w:t>
            </w:r>
            <w:r w:rsidRPr="00755187">
              <w:rPr>
                <w:rFonts w:ascii="Arial" w:eastAsia="Calibri" w:hAnsi="Arial" w:cs="Arial"/>
                <w:lang w:val="uk-UA"/>
              </w:rPr>
              <w:t xml:space="preserve"> з технічними документами.</w:t>
            </w:r>
          </w:p>
        </w:tc>
        <w:tc>
          <w:tcPr>
            <w:tcW w:w="1383" w:type="dxa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DC23D0" w:rsidRPr="008C768D" w:rsidTr="00B9544E">
        <w:trPr>
          <w:trHeight w:val="766"/>
        </w:trPr>
        <w:tc>
          <w:tcPr>
            <w:tcW w:w="1526" w:type="dxa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15.00-15.15</w:t>
            </w:r>
          </w:p>
        </w:tc>
        <w:tc>
          <w:tcPr>
            <w:tcW w:w="6662" w:type="dxa"/>
            <w:vAlign w:val="center"/>
          </w:tcPr>
          <w:p w:rsidR="00DC23D0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Питання, відповіді, обговорення</w:t>
            </w:r>
          </w:p>
        </w:tc>
        <w:tc>
          <w:tcPr>
            <w:tcW w:w="1383" w:type="dxa"/>
            <w:vAlign w:val="center"/>
          </w:tcPr>
          <w:p w:rsidR="00DC23D0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DC23D0" w:rsidRPr="008C768D" w:rsidTr="00B9544E">
        <w:tc>
          <w:tcPr>
            <w:tcW w:w="1526" w:type="dxa"/>
            <w:tcBorders>
              <w:righ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lastRenderedPageBreak/>
              <w:t>15.15 - 15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>
              <w:rPr>
                <w:rFonts w:ascii="Arial" w:eastAsia="Calibri" w:hAnsi="Arial" w:cs="Arial"/>
                <w:lang w:val="uk-UA"/>
              </w:rPr>
              <w:t>30</w:t>
            </w:r>
          </w:p>
        </w:tc>
        <w:tc>
          <w:tcPr>
            <w:tcW w:w="6662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lang w:val="uk-UA"/>
              </w:rPr>
            </w:pPr>
            <w:r w:rsidRPr="008C768D">
              <w:rPr>
                <w:rFonts w:ascii="Arial" w:eastAsia="Times New Roman" w:hAnsi="Arial" w:cs="Arial"/>
                <w:lang w:val="uk-UA"/>
              </w:rPr>
              <w:t>Перерва</w:t>
            </w:r>
          </w:p>
        </w:tc>
        <w:tc>
          <w:tcPr>
            <w:tcW w:w="1383" w:type="dxa"/>
            <w:tcBorders>
              <w:lef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  <w:tr w:rsidR="00DC23D0" w:rsidRPr="008C768D" w:rsidTr="00B9544E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15:30 - 16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>
              <w:rPr>
                <w:rFonts w:ascii="Arial" w:eastAsia="Calibri" w:hAnsi="Arial" w:cs="Arial"/>
                <w:lang w:val="uk-UA"/>
              </w:rPr>
              <w:t>00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DC23D0" w:rsidRPr="00F15633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Робота з технічними документами по заповненню </w:t>
            </w:r>
            <w:bookmarkStart w:id="0" w:name="_Hlk198375604"/>
            <w:r>
              <w:rPr>
                <w:rFonts w:ascii="Arial" w:eastAsia="Calibri" w:hAnsi="Arial" w:cs="Arial"/>
                <w:lang w:val="uk-UA"/>
              </w:rPr>
              <w:t>TUE</w:t>
            </w:r>
            <w:bookmarkEnd w:id="0"/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DC23D0" w:rsidRPr="008C768D" w:rsidTr="00B9544E">
        <w:tc>
          <w:tcPr>
            <w:tcW w:w="1526" w:type="dxa"/>
            <w:tcBorders>
              <w:righ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16:</w:t>
            </w:r>
            <w:r w:rsidR="00EB0E78">
              <w:rPr>
                <w:rFonts w:ascii="Arial" w:eastAsia="Calibri" w:hAnsi="Arial" w:cs="Arial"/>
                <w:lang w:val="uk-UA"/>
              </w:rPr>
              <w:t>0</w:t>
            </w:r>
            <w:r>
              <w:rPr>
                <w:rFonts w:ascii="Arial" w:eastAsia="Calibri" w:hAnsi="Arial" w:cs="Arial"/>
                <w:lang w:val="uk-UA"/>
              </w:rPr>
              <w:t xml:space="preserve">0 - </w:t>
            </w:r>
            <w:r w:rsidR="00A806DF">
              <w:rPr>
                <w:rFonts w:ascii="Arial" w:eastAsia="Calibri" w:hAnsi="Arial" w:cs="Arial"/>
                <w:lang w:val="uk-UA"/>
              </w:rPr>
              <w:t>23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A806DF">
              <w:rPr>
                <w:rFonts w:ascii="Arial" w:eastAsia="Calibri" w:hAnsi="Arial" w:cs="Arial"/>
                <w:lang w:val="uk-UA"/>
              </w:rPr>
              <w:t>59</w:t>
            </w:r>
          </w:p>
        </w:tc>
        <w:tc>
          <w:tcPr>
            <w:tcW w:w="6662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DC23D0" w:rsidRPr="00A806DF" w:rsidRDefault="00A806DF" w:rsidP="00F81CCE">
            <w:pPr>
              <w:rPr>
                <w:rFonts w:ascii="Arial" w:eastAsia="Calibri" w:hAnsi="Arial" w:cs="Arial"/>
                <w:lang w:val="uk-UA"/>
              </w:rPr>
            </w:pPr>
            <w:r w:rsidRPr="00A806DF">
              <w:rPr>
                <w:rFonts w:ascii="Arial" w:eastAsia="Calibri" w:hAnsi="Arial" w:cs="Arial"/>
                <w:lang w:val="uk-UA"/>
              </w:rPr>
              <w:t>Тестування</w:t>
            </w:r>
          </w:p>
        </w:tc>
        <w:tc>
          <w:tcPr>
            <w:tcW w:w="1383" w:type="dxa"/>
            <w:tcBorders>
              <w:lef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</w:tbl>
    <w:p w:rsidR="00DC23D0" w:rsidRDefault="00DC23D0" w:rsidP="00DC23D0">
      <w:pPr>
        <w:rPr>
          <w:lang w:val="uk-UA"/>
        </w:rPr>
      </w:pPr>
    </w:p>
    <w:p w:rsidR="00DC23D0" w:rsidRPr="00DC23D0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Лекція – 3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год</w:t>
      </w:r>
      <w:proofErr w:type="spellEnd"/>
    </w:p>
    <w:p w:rsidR="00DC23D0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DC23D0">
        <w:rPr>
          <w:rFonts w:ascii="Arial" w:eastAsia="Calibri" w:hAnsi="Arial" w:cs="Arial"/>
          <w:sz w:val="24"/>
          <w:szCs w:val="24"/>
          <w:lang w:val="uk-UA"/>
        </w:rPr>
        <w:t>Питання і відповіді – 15 хв.</w:t>
      </w:r>
    </w:p>
    <w:p w:rsidR="00DC23D0" w:rsidRPr="00DC23D0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Перерва – 15 хв.</w:t>
      </w:r>
    </w:p>
    <w:p w:rsidR="00DC23D0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DC23D0">
        <w:rPr>
          <w:rFonts w:ascii="Arial" w:eastAsia="Calibri" w:hAnsi="Arial" w:cs="Arial"/>
          <w:sz w:val="24"/>
          <w:szCs w:val="24"/>
          <w:lang w:val="uk-UA"/>
        </w:rPr>
        <w:t>Практична частина заповнення дозволу на терапевтичне використання – 30 хв.</w:t>
      </w:r>
      <w:r w:rsidR="00EB0E78">
        <w:rPr>
          <w:rFonts w:ascii="Arial" w:eastAsia="Calibri" w:hAnsi="Arial" w:cs="Arial"/>
          <w:sz w:val="24"/>
          <w:szCs w:val="24"/>
          <w:lang w:val="uk-UA"/>
        </w:rPr>
        <w:t xml:space="preserve"> </w:t>
      </w:r>
    </w:p>
    <w:p w:rsidR="00FC7B2E" w:rsidRPr="00DC23D0" w:rsidRDefault="00FC7B2E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FC7B2E">
        <w:rPr>
          <w:rFonts w:ascii="Arial" w:eastAsia="Calibri" w:hAnsi="Arial" w:cs="Arial"/>
          <w:sz w:val="24"/>
          <w:szCs w:val="24"/>
          <w:lang w:val="uk-UA"/>
        </w:rPr>
        <w:t>Тестування (10 завдань) 20 хв</w:t>
      </w:r>
    </w:p>
    <w:p w:rsidR="00DC23D0" w:rsidRDefault="00DC23D0" w:rsidP="009A2A8E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</w:p>
    <w:p w:rsidR="00DC23D0" w:rsidRPr="00DC23D0" w:rsidRDefault="00633614" w:rsidP="00DC23D0">
      <w:pPr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 xml:space="preserve">Тренери: </w:t>
      </w:r>
    </w:p>
    <w:p w:rsidR="00DC23D0" w:rsidRPr="00DC23D0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proofErr w:type="spellStart"/>
      <w:r w:rsidRPr="00DC23D0">
        <w:rPr>
          <w:rFonts w:ascii="Arial" w:eastAsia="Calibri" w:hAnsi="Arial" w:cs="Arial"/>
          <w:b/>
          <w:sz w:val="24"/>
          <w:szCs w:val="24"/>
          <w:lang w:val="uk-UA"/>
        </w:rPr>
        <w:t>Куртян</w:t>
      </w:r>
      <w:proofErr w:type="spellEnd"/>
      <w:r w:rsidRPr="00DC23D0">
        <w:rPr>
          <w:rFonts w:ascii="Arial" w:eastAsia="Calibri" w:hAnsi="Arial" w:cs="Arial"/>
          <w:b/>
          <w:sz w:val="24"/>
          <w:szCs w:val="24"/>
          <w:lang w:val="uk-UA"/>
        </w:rPr>
        <w:t xml:space="preserve"> Тетяна Володимирівна -</w:t>
      </w:r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к.м.н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., доцент кафедри реабілітаційної медицини, фізичної терапії та спортивної медицини Національного університету охорони здоров’я України імені П. Л.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Шупика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. Заслужений лікар України, орден Княгині Ольги ІІІ ступеня. Лікар фізичної та реабілітаційної медицини, акредитована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Еuropean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Board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of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Physical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and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Rehabilitation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Medicine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. Лікар спортивної медицини вищої категорії. Головний лікар національної збірної України з карате Міністерства молоді і спорту України. Головний лікар збірної України Національного Олімпійського Комітету на Іграх ХХХІІІ Олімпіади в м. Париж (Франція) 2024 року, на XVII Зимовому Європейському олімпійському фестивалі мм. Бакуріані, Тбілісі, Батумі (Грузія) 2025 року, Європейському олімпійському літньому фестивалі (мм. Скоп’є –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Куманово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 –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Осієк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, Республіка Македонія/ Хорватія) 2025 рік, Всесвітніх Іграх (м.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Ченгду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 xml:space="preserve">, Китайська Республіка), 2025 рік. Засновниця фахової школи спортивної медицини доктора Тетяни </w:t>
      </w:r>
      <w:proofErr w:type="spellStart"/>
      <w:r w:rsidRPr="00DC23D0">
        <w:rPr>
          <w:rFonts w:ascii="Arial" w:eastAsia="Calibri" w:hAnsi="Arial" w:cs="Arial"/>
          <w:sz w:val="24"/>
          <w:szCs w:val="24"/>
          <w:lang w:val="uk-UA"/>
        </w:rPr>
        <w:t>Куртян</w:t>
      </w:r>
      <w:proofErr w:type="spellEnd"/>
      <w:r w:rsidRPr="00DC23D0">
        <w:rPr>
          <w:rFonts w:ascii="Arial" w:eastAsia="Calibri" w:hAnsi="Arial" w:cs="Arial"/>
          <w:sz w:val="24"/>
          <w:szCs w:val="24"/>
          <w:lang w:val="uk-UA"/>
        </w:rPr>
        <w:t>. Майстер спорту України міжнародного класу з карате.</w:t>
      </w:r>
    </w:p>
    <w:p w:rsidR="00DC23D0" w:rsidRPr="00DC23D0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DC23D0">
        <w:rPr>
          <w:rFonts w:ascii="Arial" w:eastAsia="Calibri" w:hAnsi="Arial" w:cs="Arial"/>
          <w:sz w:val="24"/>
          <w:szCs w:val="24"/>
          <w:lang w:val="uk-UA"/>
        </w:rPr>
        <w:t>Практичний медичний стаж – 22 роки.</w:t>
      </w:r>
    </w:p>
    <w:p w:rsidR="009A2A8E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DC23D0">
        <w:rPr>
          <w:rFonts w:ascii="Arial" w:eastAsia="Calibri" w:hAnsi="Arial" w:cs="Arial"/>
          <w:sz w:val="24"/>
          <w:szCs w:val="24"/>
          <w:lang w:val="uk-UA"/>
        </w:rPr>
        <w:t>Педагогічний стаж – 21 рік.</w:t>
      </w:r>
    </w:p>
    <w:p w:rsidR="00DC23D0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</w:p>
    <w:p w:rsidR="00DC23D0" w:rsidRPr="00F25645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F25645">
        <w:rPr>
          <w:rFonts w:ascii="Arial" w:eastAsia="Calibri" w:hAnsi="Arial" w:cs="Arial"/>
          <w:b/>
          <w:bCs/>
          <w:sz w:val="24"/>
          <w:szCs w:val="24"/>
          <w:lang w:val="uk-UA"/>
        </w:rPr>
        <w:t>Сфера інтересів:</w:t>
      </w:r>
      <w:r w:rsidRPr="00A775E3">
        <w:rPr>
          <w:rFonts w:ascii="Arial" w:eastAsia="Calibri" w:hAnsi="Arial" w:cs="Arial"/>
          <w:sz w:val="24"/>
          <w:szCs w:val="24"/>
          <w:lang w:val="uk-UA"/>
        </w:rPr>
        <w:t xml:space="preserve"> науково-педагогічний та практичний напрямок роботи включає розробку аеробних програм тренувань з урахуванням показників толерантності до фізичного навантаження, особливостей біохімічного енергозабезпечення міокарду та м’язів тіла у пацієнтів кардіологічного профілю, після перенесених гострих респіраторних вірусних інфекції, після травм та оперативних втручань на опорно-руховому апараті, після перенесених захворювань опорно-рухового апарату, ампутацій кінцівок, робота з військовими в рамках супроводу тренувань з адаптивних видів спорту. Робота з спортсменами різних рівнів підготовки та віку, </w:t>
      </w:r>
      <w:proofErr w:type="spellStart"/>
      <w:r w:rsidRPr="00A775E3">
        <w:rPr>
          <w:rFonts w:ascii="Arial" w:eastAsia="Calibri" w:hAnsi="Arial" w:cs="Arial"/>
          <w:sz w:val="24"/>
          <w:szCs w:val="24"/>
          <w:lang w:val="uk-UA"/>
        </w:rPr>
        <w:t>фармако-нутрітивний</w:t>
      </w:r>
      <w:proofErr w:type="spellEnd"/>
      <w:r w:rsidRPr="00A775E3">
        <w:rPr>
          <w:rFonts w:ascii="Arial" w:eastAsia="Calibri" w:hAnsi="Arial" w:cs="Arial"/>
          <w:sz w:val="24"/>
          <w:szCs w:val="24"/>
          <w:lang w:val="uk-UA"/>
        </w:rPr>
        <w:t xml:space="preserve"> супровід тренувального процесу на різних етапах підготовки та медичний супровід спортивних команд різних видів спорту (циклічні, ациклічні, складно-координаційні, одноборства тощо).</w:t>
      </w:r>
    </w:p>
    <w:p w:rsidR="00DC23D0" w:rsidRPr="00DC23D0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</w:p>
    <w:p w:rsidR="00DC23D0" w:rsidRDefault="00DC23D0" w:rsidP="00DC23D0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bCs/>
          <w:sz w:val="24"/>
          <w:szCs w:val="24"/>
          <w:lang w:val="uk-UA"/>
        </w:rPr>
      </w:pPr>
    </w:p>
    <w:p w:rsidR="009A2A8E" w:rsidRDefault="00633614" w:rsidP="0063361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lastRenderedPageBreak/>
        <w:t>Кількість учасників</w:t>
      </w:r>
      <w:r w:rsidR="00A361A2"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: </w:t>
      </w:r>
      <w:r w:rsidR="00B9544E">
        <w:rPr>
          <w:rFonts w:ascii="Arial" w:eastAsia="Calibri" w:hAnsi="Arial" w:cs="Arial"/>
          <w:iCs/>
          <w:sz w:val="24"/>
          <w:szCs w:val="24"/>
          <w:lang w:val="uk-UA"/>
        </w:rPr>
        <w:t>до 20</w:t>
      </w:r>
    </w:p>
    <w:sectPr w:rsidR="009A2A8E" w:rsidSect="004A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B90"/>
    <w:multiLevelType w:val="hybridMultilevel"/>
    <w:tmpl w:val="0FF463CC"/>
    <w:lvl w:ilvl="0" w:tplc="F1D87FD2">
      <w:start w:val="1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614"/>
    <w:rsid w:val="001D67D6"/>
    <w:rsid w:val="0033348A"/>
    <w:rsid w:val="003F7088"/>
    <w:rsid w:val="0049110D"/>
    <w:rsid w:val="004A252E"/>
    <w:rsid w:val="004D69E8"/>
    <w:rsid w:val="004E43EB"/>
    <w:rsid w:val="004F5FF3"/>
    <w:rsid w:val="005032EA"/>
    <w:rsid w:val="00631E85"/>
    <w:rsid w:val="00633614"/>
    <w:rsid w:val="006731AA"/>
    <w:rsid w:val="006A240D"/>
    <w:rsid w:val="00755187"/>
    <w:rsid w:val="00764AB4"/>
    <w:rsid w:val="00783BBD"/>
    <w:rsid w:val="00783F55"/>
    <w:rsid w:val="00984AFE"/>
    <w:rsid w:val="009A2A8E"/>
    <w:rsid w:val="009D130B"/>
    <w:rsid w:val="009F68FC"/>
    <w:rsid w:val="00A361A2"/>
    <w:rsid w:val="00A806DF"/>
    <w:rsid w:val="00B9544E"/>
    <w:rsid w:val="00BE2E2F"/>
    <w:rsid w:val="00CE40C7"/>
    <w:rsid w:val="00D51E37"/>
    <w:rsid w:val="00DC23D0"/>
    <w:rsid w:val="00EB0E78"/>
    <w:rsid w:val="00FC7B2E"/>
    <w:rsid w:val="00FF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</cp:revision>
  <dcterms:created xsi:type="dcterms:W3CDTF">2025-11-19T09:51:00Z</dcterms:created>
  <dcterms:modified xsi:type="dcterms:W3CDTF">2025-12-08T09:22:00Z</dcterms:modified>
</cp:coreProperties>
</file>